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341" w:rsidRPr="00522CB9" w:rsidP="008C3341">
      <w:pPr>
        <w:rPr>
          <w:bCs/>
          <w:sz w:val="26"/>
          <w:szCs w:val="26"/>
        </w:rPr>
      </w:pPr>
      <w:r w:rsidRPr="00522CB9">
        <w:rPr>
          <w:bCs/>
          <w:sz w:val="26"/>
          <w:szCs w:val="26"/>
        </w:rPr>
        <w:t xml:space="preserve">Дело № </w:t>
      </w:r>
      <w:r w:rsidRPr="00522CB9" w:rsidR="00522CB9">
        <w:rPr>
          <w:sz w:val="26"/>
          <w:szCs w:val="26"/>
        </w:rPr>
        <w:t>05-0170/2607/2026</w:t>
      </w:r>
    </w:p>
    <w:p w:rsidR="008C3341" w:rsidRPr="00522CB9" w:rsidP="008C3341">
      <w:pPr>
        <w:jc w:val="center"/>
        <w:rPr>
          <w:bCs/>
          <w:sz w:val="26"/>
          <w:szCs w:val="26"/>
        </w:rPr>
      </w:pPr>
      <w:r w:rsidRPr="00522CB9">
        <w:rPr>
          <w:bCs/>
          <w:sz w:val="26"/>
          <w:szCs w:val="26"/>
        </w:rPr>
        <w:t>ПОСТАНОВЛЕНИЕ</w:t>
      </w:r>
    </w:p>
    <w:p w:rsidR="008C3341" w:rsidRPr="00522CB9" w:rsidP="00270AAB">
      <w:pPr>
        <w:jc w:val="center"/>
        <w:rPr>
          <w:bCs/>
          <w:sz w:val="26"/>
          <w:szCs w:val="26"/>
        </w:rPr>
      </w:pPr>
      <w:r w:rsidRPr="00522CB9">
        <w:rPr>
          <w:bCs/>
          <w:sz w:val="26"/>
          <w:szCs w:val="26"/>
        </w:rPr>
        <w:t>о назначении административного наказания</w:t>
      </w:r>
    </w:p>
    <w:p w:rsidR="008C3341" w:rsidRPr="00522CB9" w:rsidP="008C3341">
      <w:pPr>
        <w:rPr>
          <w:bCs/>
          <w:sz w:val="26"/>
          <w:szCs w:val="26"/>
        </w:rPr>
      </w:pPr>
      <w:r w:rsidRPr="00522CB9">
        <w:rPr>
          <w:bCs/>
          <w:sz w:val="26"/>
          <w:szCs w:val="26"/>
        </w:rPr>
        <w:t xml:space="preserve">           город Сургут                                           </w:t>
      </w:r>
      <w:r w:rsidRPr="00522CB9" w:rsidR="00863EBE">
        <w:rPr>
          <w:bCs/>
          <w:sz w:val="26"/>
          <w:szCs w:val="26"/>
        </w:rPr>
        <w:t xml:space="preserve">                            </w:t>
      </w:r>
      <w:r w:rsidRPr="00522CB9" w:rsidR="00522CB9">
        <w:rPr>
          <w:bCs/>
          <w:sz w:val="26"/>
          <w:szCs w:val="26"/>
        </w:rPr>
        <w:t>25 февраля 2026</w:t>
      </w:r>
      <w:r w:rsidRPr="00522CB9" w:rsidR="00863EBE">
        <w:rPr>
          <w:bCs/>
          <w:sz w:val="26"/>
          <w:szCs w:val="26"/>
        </w:rPr>
        <w:t xml:space="preserve"> года</w:t>
      </w:r>
      <w:r w:rsidRPr="00522CB9">
        <w:rPr>
          <w:bCs/>
          <w:sz w:val="26"/>
          <w:szCs w:val="26"/>
        </w:rPr>
        <w:t xml:space="preserve">                                                                                    </w:t>
      </w:r>
    </w:p>
    <w:p w:rsidR="008C3341" w:rsidRPr="00522CB9" w:rsidP="008C3341">
      <w:pPr>
        <w:rPr>
          <w:sz w:val="26"/>
          <w:szCs w:val="26"/>
        </w:rPr>
      </w:pPr>
    </w:p>
    <w:p w:rsidR="00881325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bCs/>
          <w:sz w:val="26"/>
          <w:szCs w:val="26"/>
        </w:rPr>
        <w:t>Исполняющий обязанности м</w:t>
      </w:r>
      <w:r w:rsidRPr="00522CB9" w:rsidR="008C3341">
        <w:rPr>
          <w:bCs/>
          <w:sz w:val="26"/>
          <w:szCs w:val="26"/>
        </w:rPr>
        <w:t>ирово</w:t>
      </w:r>
      <w:r w:rsidRPr="00522CB9">
        <w:rPr>
          <w:bCs/>
          <w:sz w:val="26"/>
          <w:szCs w:val="26"/>
        </w:rPr>
        <w:t>го</w:t>
      </w:r>
      <w:r w:rsidRPr="00522CB9" w:rsidR="008C3341">
        <w:rPr>
          <w:bCs/>
          <w:sz w:val="26"/>
          <w:szCs w:val="26"/>
        </w:rPr>
        <w:t xml:space="preserve"> судьи судебного участка № </w:t>
      </w:r>
      <w:r w:rsidRPr="00522CB9">
        <w:rPr>
          <w:bCs/>
          <w:sz w:val="26"/>
          <w:szCs w:val="26"/>
        </w:rPr>
        <w:t>7</w:t>
      </w:r>
      <w:r w:rsidRPr="00522CB9" w:rsidR="008C3341">
        <w:rPr>
          <w:sz w:val="26"/>
          <w:szCs w:val="26"/>
        </w:rPr>
        <w:t xml:space="preserve"> </w:t>
      </w:r>
      <w:r w:rsidRPr="00522CB9" w:rsidR="008C3341">
        <w:rPr>
          <w:sz w:val="26"/>
          <w:szCs w:val="26"/>
        </w:rPr>
        <w:t>Сургутского</w:t>
      </w:r>
      <w:r w:rsidRPr="00522CB9" w:rsidR="008C334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22CB9" w:rsidR="008C3341">
        <w:rPr>
          <w:sz w:val="26"/>
          <w:szCs w:val="26"/>
        </w:rPr>
        <w:t>Зиннурова</w:t>
      </w:r>
      <w:r w:rsidRPr="00522CB9" w:rsidR="008C3341">
        <w:rPr>
          <w:sz w:val="26"/>
          <w:szCs w:val="26"/>
        </w:rPr>
        <w:t xml:space="preserve"> Т.И., находящийся по адресу: </w:t>
      </w:r>
      <w:r w:rsidRPr="00522CB9" w:rsidR="008C3341">
        <w:rPr>
          <w:bCs/>
          <w:sz w:val="26"/>
          <w:szCs w:val="26"/>
        </w:rPr>
        <w:t xml:space="preserve">Ханты-Мансийский автономный округ – Югра, г. Сургут, ул. Гагарина, д. 9, зал судебного заседания </w:t>
      </w:r>
      <w:r w:rsidRPr="00522CB9" w:rsidR="008C3341">
        <w:rPr>
          <w:bCs/>
          <w:sz w:val="26"/>
          <w:szCs w:val="26"/>
        </w:rPr>
        <w:t>каб</w:t>
      </w:r>
      <w:r w:rsidRPr="00522CB9" w:rsidR="008C3341">
        <w:rPr>
          <w:bCs/>
          <w:sz w:val="26"/>
          <w:szCs w:val="26"/>
        </w:rPr>
        <w:t xml:space="preserve">. 509, </w:t>
      </w:r>
      <w:r w:rsidRPr="00522CB9" w:rsidR="008C3341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</w:t>
      </w:r>
      <w:r w:rsidRPr="00522CB9" w:rsidR="00522CB9">
        <w:rPr>
          <w:sz w:val="26"/>
          <w:szCs w:val="26"/>
        </w:rPr>
        <w:t>05-0170/2607/2026</w:t>
      </w:r>
      <w:r w:rsidRPr="00522CB9" w:rsidR="008C3341">
        <w:rPr>
          <w:b/>
          <w:sz w:val="26"/>
          <w:szCs w:val="26"/>
        </w:rPr>
        <w:t xml:space="preserve"> </w:t>
      </w:r>
      <w:r w:rsidRPr="00522CB9" w:rsidR="008C3341">
        <w:rPr>
          <w:sz w:val="26"/>
          <w:szCs w:val="26"/>
        </w:rPr>
        <w:t>в отношении должностного лица –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Хабибулина</w:t>
      </w:r>
      <w:r w:rsidRPr="00522CB9">
        <w:rPr>
          <w:sz w:val="26"/>
          <w:szCs w:val="26"/>
        </w:rPr>
        <w:t xml:space="preserve"> Дениса Эдуардовича</w:t>
      </w:r>
      <w:r w:rsidRPr="00B6543F" w:rsidR="00B6543F">
        <w:rPr>
          <w:sz w:val="26"/>
          <w:szCs w:val="26"/>
        </w:rPr>
        <w:t>…….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8C3341" w:rsidRPr="00522CB9" w:rsidP="008C3341">
      <w:pPr>
        <w:jc w:val="center"/>
        <w:rPr>
          <w:sz w:val="26"/>
          <w:szCs w:val="26"/>
        </w:rPr>
      </w:pPr>
    </w:p>
    <w:p w:rsidR="008C3341" w:rsidRPr="00522CB9" w:rsidP="008C3341">
      <w:pPr>
        <w:jc w:val="center"/>
        <w:rPr>
          <w:sz w:val="26"/>
          <w:szCs w:val="26"/>
        </w:rPr>
      </w:pPr>
      <w:r w:rsidRPr="00522CB9">
        <w:rPr>
          <w:sz w:val="26"/>
          <w:szCs w:val="26"/>
        </w:rPr>
        <w:t>УСТАНОВИЛ:</w:t>
      </w:r>
    </w:p>
    <w:p w:rsidR="008C3341" w:rsidRPr="00522CB9" w:rsidP="008C3341">
      <w:pPr>
        <w:rPr>
          <w:sz w:val="26"/>
          <w:szCs w:val="26"/>
        </w:rPr>
      </w:pP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Должностное лицо – </w:t>
      </w:r>
      <w:r w:rsidRPr="00522CB9" w:rsidR="00522CB9">
        <w:rPr>
          <w:sz w:val="26"/>
          <w:szCs w:val="26"/>
        </w:rPr>
        <w:t>директор ООО «</w:t>
      </w:r>
      <w:r w:rsidRPr="00522CB9" w:rsidR="00522CB9">
        <w:rPr>
          <w:sz w:val="26"/>
          <w:szCs w:val="26"/>
        </w:rPr>
        <w:t>Экопроект</w:t>
      </w:r>
      <w:r w:rsidRPr="00522CB9" w:rsidR="00522CB9">
        <w:rPr>
          <w:sz w:val="26"/>
          <w:szCs w:val="26"/>
        </w:rPr>
        <w:t xml:space="preserve">» </w:t>
      </w:r>
      <w:r w:rsidRPr="00522CB9" w:rsidR="00522CB9">
        <w:rPr>
          <w:sz w:val="26"/>
          <w:szCs w:val="26"/>
        </w:rPr>
        <w:t>Хабибулин</w:t>
      </w:r>
      <w:r w:rsidRPr="00522CB9" w:rsidR="00522CB9">
        <w:rPr>
          <w:sz w:val="26"/>
          <w:szCs w:val="26"/>
        </w:rPr>
        <w:t xml:space="preserve"> Денис Эдуардович</w:t>
      </w:r>
      <w:r w:rsidRPr="00522CB9">
        <w:rPr>
          <w:sz w:val="26"/>
          <w:szCs w:val="26"/>
        </w:rPr>
        <w:t xml:space="preserve"> в срок до </w:t>
      </w:r>
      <w:r w:rsidRPr="00522CB9" w:rsidR="00522CB9">
        <w:rPr>
          <w:sz w:val="26"/>
          <w:szCs w:val="26"/>
        </w:rPr>
        <w:t>13.08.2025</w:t>
      </w:r>
      <w:r w:rsidRPr="00522CB9">
        <w:rPr>
          <w:sz w:val="26"/>
          <w:szCs w:val="26"/>
        </w:rPr>
        <w:t xml:space="preserve">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</w:t>
      </w:r>
      <w:r w:rsidRPr="00522CB9" w:rsidR="00522CB9">
        <w:rPr>
          <w:sz w:val="26"/>
          <w:szCs w:val="26"/>
        </w:rPr>
        <w:t xml:space="preserve"> 6685/13/СА от 21.07.2025</w:t>
      </w:r>
      <w:r w:rsidRPr="00522CB9">
        <w:rPr>
          <w:sz w:val="26"/>
          <w:szCs w:val="26"/>
        </w:rPr>
        <w:t xml:space="preserve"> направлено по телекоммуникационным каналам связи, электронный документ получен </w:t>
      </w:r>
      <w:r w:rsidRPr="00522CB9" w:rsidR="00522CB9">
        <w:rPr>
          <w:sz w:val="26"/>
          <w:szCs w:val="26"/>
        </w:rPr>
        <w:t>29.07.2025</w:t>
      </w:r>
      <w:r w:rsidRPr="00522CB9">
        <w:rPr>
          <w:sz w:val="26"/>
          <w:szCs w:val="26"/>
        </w:rPr>
        <w:t>,</w:t>
      </w:r>
      <w:r w:rsidRPr="00522CB9" w:rsidR="00863EBE">
        <w:rPr>
          <w:sz w:val="26"/>
          <w:szCs w:val="26"/>
        </w:rPr>
        <w:t xml:space="preserve"> </w:t>
      </w:r>
      <w:r w:rsidRPr="00522CB9">
        <w:rPr>
          <w:sz w:val="26"/>
          <w:szCs w:val="26"/>
        </w:rPr>
        <w:t xml:space="preserve">тем самым совершил административное правонарушение, за которое предусмотрена ответственность частью 1 статьи 15.6 Кодекса РФ об административных правонарушениях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Хабибулин</w:t>
      </w:r>
      <w:r w:rsidRPr="00522CB9">
        <w:rPr>
          <w:sz w:val="26"/>
          <w:szCs w:val="26"/>
        </w:rPr>
        <w:t xml:space="preserve"> Д.Э.</w:t>
      </w:r>
      <w:r w:rsidRPr="00522CB9">
        <w:rPr>
          <w:sz w:val="26"/>
          <w:szCs w:val="26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При указанных обстоятельствах судом определено рассмотреть дело в отсутствии привлекаемого лица.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Общие правила территориальной подсудности дел об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522CB9">
        <w:rPr>
          <w:sz w:val="26"/>
          <w:szCs w:val="26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Юридический адрес общества: </w:t>
      </w:r>
      <w:r w:rsidRPr="00522CB9" w:rsidR="00522CB9">
        <w:rPr>
          <w:sz w:val="26"/>
          <w:szCs w:val="26"/>
        </w:rPr>
        <w:t>ХМАО-Югра, г. Сургут, ул. 30 лет Победы, д.44/1</w:t>
      </w:r>
      <w:r w:rsidRPr="00522CB9">
        <w:rPr>
          <w:sz w:val="26"/>
          <w:szCs w:val="26"/>
        </w:rPr>
        <w:t>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Ходатайство от лица, привлекаемого к административной ответственности, о направлении дела об административном правонарушении для рассмотрения по месту жительства не поступало.  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В соответствии со ст. 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522CB9">
        <w:rPr>
          <w:sz w:val="26"/>
          <w:szCs w:val="26"/>
        </w:rPr>
        <w:t>истребуемыми</w:t>
      </w:r>
      <w:r w:rsidRPr="00522CB9">
        <w:rPr>
          <w:sz w:val="26"/>
          <w:szCs w:val="26"/>
        </w:rPr>
        <w:t xml:space="preserve"> документами (информацией). Если </w:t>
      </w:r>
      <w:r w:rsidRPr="00522CB9">
        <w:rPr>
          <w:sz w:val="26"/>
          <w:szCs w:val="26"/>
        </w:rPr>
        <w:t>истребуемые</w:t>
      </w:r>
      <w:r w:rsidRPr="00522CB9">
        <w:rPr>
          <w:sz w:val="26"/>
          <w:szCs w:val="26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Ходатайство от должностного лица о продлении срока предоставления документов не поступало.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- протоколом об административном правонарушении № </w:t>
      </w:r>
      <w:r w:rsidRPr="00522CB9" w:rsidR="00522CB9">
        <w:rPr>
          <w:sz w:val="26"/>
          <w:szCs w:val="26"/>
        </w:rPr>
        <w:t>25405 от 23.01.2026</w:t>
      </w:r>
      <w:r w:rsidRPr="00522CB9">
        <w:rPr>
          <w:sz w:val="26"/>
          <w:szCs w:val="26"/>
        </w:rPr>
        <w:t xml:space="preserve"> в котором изложены обстоятельства совершения административного правонарушения;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- копией информационного письма № </w:t>
      </w:r>
      <w:r w:rsidRPr="00522CB9" w:rsidR="00522CB9">
        <w:rPr>
          <w:sz w:val="26"/>
          <w:szCs w:val="26"/>
        </w:rPr>
        <w:t xml:space="preserve">5399/13ТР/413К </w:t>
      </w:r>
      <w:r w:rsidRPr="00522CB9">
        <w:rPr>
          <w:sz w:val="26"/>
          <w:szCs w:val="26"/>
        </w:rPr>
        <w:t>от</w:t>
      </w:r>
      <w:r w:rsidRPr="00522CB9" w:rsidR="00522CB9">
        <w:rPr>
          <w:sz w:val="26"/>
          <w:szCs w:val="26"/>
        </w:rPr>
        <w:t xml:space="preserve"> </w:t>
      </w:r>
      <w:r w:rsidRPr="00522CB9" w:rsidR="00522CB9">
        <w:rPr>
          <w:sz w:val="26"/>
          <w:szCs w:val="26"/>
        </w:rPr>
        <w:t>02.12.2025</w:t>
      </w:r>
      <w:r w:rsidRPr="00522CB9">
        <w:rPr>
          <w:sz w:val="26"/>
          <w:szCs w:val="26"/>
        </w:rPr>
        <w:t xml:space="preserve"> ;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- копией требования </w:t>
      </w:r>
      <w:r w:rsidRPr="00522CB9" w:rsidR="00522CB9">
        <w:rPr>
          <w:sz w:val="26"/>
          <w:szCs w:val="26"/>
        </w:rPr>
        <w:t>6685/13/СА от 21.07.2025</w:t>
      </w:r>
      <w:r w:rsidRPr="00522CB9">
        <w:rPr>
          <w:sz w:val="26"/>
          <w:szCs w:val="26"/>
        </w:rPr>
        <w:t>;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- копией выписки из единого государственного реестра юридических лиц;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- и другими материалами дела.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Таким образом, </w:t>
      </w:r>
      <w:r w:rsidRPr="00522CB9" w:rsidR="00881325">
        <w:rPr>
          <w:sz w:val="26"/>
          <w:szCs w:val="26"/>
        </w:rPr>
        <w:t xml:space="preserve">судья приходит </w:t>
      </w:r>
      <w:r w:rsidRPr="00522CB9">
        <w:rPr>
          <w:sz w:val="26"/>
          <w:szCs w:val="26"/>
        </w:rPr>
        <w:t xml:space="preserve">к выводу о том, что действия должностного </w:t>
      </w:r>
      <w:r w:rsidRPr="00522CB9">
        <w:rPr>
          <w:sz w:val="26"/>
          <w:szCs w:val="26"/>
        </w:rPr>
        <w:t xml:space="preserve">лица  </w:t>
      </w:r>
      <w:r w:rsidRPr="00522CB9" w:rsidR="00522CB9">
        <w:rPr>
          <w:sz w:val="26"/>
          <w:szCs w:val="26"/>
        </w:rPr>
        <w:t>Хабибулина</w:t>
      </w:r>
      <w:r w:rsidRPr="00522CB9" w:rsidR="00522CB9">
        <w:rPr>
          <w:sz w:val="26"/>
          <w:szCs w:val="26"/>
        </w:rPr>
        <w:t xml:space="preserve"> Дениса Эдуардовича</w:t>
      </w:r>
      <w:r w:rsidRPr="00522CB9">
        <w:rPr>
          <w:sz w:val="26"/>
          <w:szCs w:val="26"/>
        </w:rPr>
        <w:t xml:space="preserve">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522CB9">
        <w:rPr>
          <w:bCs/>
          <w:sz w:val="26"/>
          <w:szCs w:val="26"/>
        </w:rPr>
        <w:t>уд не усматривает</w:t>
      </w:r>
      <w:r w:rsidRPr="00522CB9">
        <w:rPr>
          <w:sz w:val="26"/>
          <w:szCs w:val="26"/>
        </w:rPr>
        <w:t>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  <w:lang w:val="x-none"/>
        </w:rPr>
        <w:t>При назначении наказания</w:t>
      </w:r>
      <w:r w:rsidRPr="00522CB9">
        <w:rPr>
          <w:sz w:val="26"/>
          <w:szCs w:val="26"/>
        </w:rPr>
        <w:t>,</w:t>
      </w:r>
      <w:r w:rsidRPr="00522CB9">
        <w:rPr>
          <w:sz w:val="26"/>
          <w:szCs w:val="26"/>
          <w:lang w:val="x-none"/>
        </w:rPr>
        <w:t xml:space="preserve"> учитывая характер совершенного правонарушения,</w:t>
      </w:r>
      <w:r w:rsidRPr="00522CB9">
        <w:rPr>
          <w:sz w:val="26"/>
          <w:szCs w:val="26"/>
        </w:rPr>
        <w:t xml:space="preserve"> конкретные обстоятельства дела,</w:t>
      </w:r>
      <w:r w:rsidRPr="00522CB9">
        <w:rPr>
          <w:sz w:val="26"/>
          <w:szCs w:val="26"/>
          <w:lang w:val="x-none"/>
        </w:rPr>
        <w:t xml:space="preserve"> </w:t>
      </w:r>
      <w:r w:rsidRPr="00522CB9">
        <w:rPr>
          <w:sz w:val="26"/>
          <w:szCs w:val="26"/>
        </w:rPr>
        <w:t>личность правонарушителя, отсутствие обстоятельств отягчающих ответственность, суд считает возможным назначить наказание в минимальном, предусмотренном санкцией размере.</w:t>
      </w: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На основании изложенного, руководствуясь ст. 29.9-29.11 Кодекса РФ об административных правонарушениях, мировой судья</w:t>
      </w:r>
    </w:p>
    <w:p w:rsidR="008C3341" w:rsidRPr="00522CB9" w:rsidP="008C3341">
      <w:pPr>
        <w:jc w:val="both"/>
        <w:rPr>
          <w:sz w:val="26"/>
          <w:szCs w:val="26"/>
        </w:rPr>
      </w:pPr>
    </w:p>
    <w:p w:rsidR="008C3341" w:rsidRPr="00522CB9" w:rsidP="008C3341">
      <w:pPr>
        <w:jc w:val="center"/>
        <w:rPr>
          <w:sz w:val="26"/>
          <w:szCs w:val="26"/>
        </w:rPr>
      </w:pPr>
      <w:r w:rsidRPr="00522CB9">
        <w:rPr>
          <w:sz w:val="26"/>
          <w:szCs w:val="26"/>
        </w:rPr>
        <w:t>ПОСТАНОВИЛ:</w:t>
      </w:r>
    </w:p>
    <w:p w:rsidR="008C3341" w:rsidRPr="00522CB9" w:rsidP="008C3341">
      <w:pPr>
        <w:jc w:val="both"/>
        <w:rPr>
          <w:sz w:val="26"/>
          <w:szCs w:val="26"/>
        </w:rPr>
      </w:pPr>
    </w:p>
    <w:p w:rsidR="008C3341" w:rsidRPr="00522CB9" w:rsidP="008C3341">
      <w:pPr>
        <w:ind w:firstLine="708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Должностное лицо </w:t>
      </w:r>
      <w:r w:rsidRPr="00522CB9">
        <w:rPr>
          <w:sz w:val="26"/>
          <w:szCs w:val="26"/>
        </w:rPr>
        <w:t xml:space="preserve">–  </w:t>
      </w:r>
      <w:r w:rsidRPr="00522CB9" w:rsidR="00522CB9">
        <w:rPr>
          <w:sz w:val="26"/>
          <w:szCs w:val="26"/>
        </w:rPr>
        <w:t>Хабибулина</w:t>
      </w:r>
      <w:r w:rsidRPr="00522CB9" w:rsidR="00522CB9">
        <w:rPr>
          <w:sz w:val="26"/>
          <w:szCs w:val="26"/>
        </w:rPr>
        <w:t xml:space="preserve"> Дениса Эдуардовича</w:t>
      </w:r>
      <w:r w:rsidRPr="00522CB9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административного штрафа в размере </w:t>
      </w:r>
      <w:r w:rsidRPr="00522CB9" w:rsidR="00522CB9">
        <w:rPr>
          <w:sz w:val="26"/>
          <w:szCs w:val="26"/>
        </w:rPr>
        <w:t>500,00</w:t>
      </w:r>
      <w:r w:rsidRPr="00522CB9">
        <w:rPr>
          <w:sz w:val="26"/>
          <w:szCs w:val="26"/>
        </w:rPr>
        <w:t xml:space="preserve"> рублей.  </w:t>
      </w:r>
    </w:p>
    <w:p w:rsidR="009E6B6E" w:rsidRPr="00522CB9" w:rsidP="009E6B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522CB9" w:rsidR="00522CB9">
        <w:rPr>
          <w:sz w:val="26"/>
          <w:szCs w:val="26"/>
        </w:rPr>
        <w:t>0412365400625001702615163</w:t>
      </w:r>
      <w:r w:rsidRPr="00522CB9">
        <w:rPr>
          <w:sz w:val="26"/>
          <w:szCs w:val="26"/>
        </w:rPr>
        <w:t>.</w:t>
      </w:r>
    </w:p>
    <w:p w:rsidR="00326564" w:rsidRPr="00522CB9" w:rsidP="00326564">
      <w:pPr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         Постановление может быть обжаловано в </w:t>
      </w:r>
      <w:r w:rsidRPr="00522CB9">
        <w:rPr>
          <w:sz w:val="26"/>
          <w:szCs w:val="26"/>
        </w:rPr>
        <w:t>Сургутский</w:t>
      </w:r>
      <w:r w:rsidRPr="00522CB9">
        <w:rPr>
          <w:sz w:val="26"/>
          <w:szCs w:val="26"/>
        </w:rPr>
        <w:t xml:space="preserve"> городской суд путем подачи жалобы </w:t>
      </w:r>
      <w:r w:rsidRPr="00522CB9">
        <w:rPr>
          <w:sz w:val="26"/>
          <w:szCs w:val="26"/>
        </w:rPr>
        <w:t>через мирового судью</w:t>
      </w:r>
      <w:r w:rsidRPr="00522CB9">
        <w:rPr>
          <w:sz w:val="26"/>
          <w:szCs w:val="26"/>
        </w:rPr>
        <w:t xml:space="preserve"> судебного участка № 7 </w:t>
      </w:r>
      <w:r w:rsidRPr="00522CB9">
        <w:rPr>
          <w:sz w:val="26"/>
          <w:szCs w:val="26"/>
        </w:rPr>
        <w:t>Сургутского</w:t>
      </w:r>
      <w:r w:rsidRPr="00522CB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</w:t>
      </w:r>
      <w:r w:rsidRPr="00522CB9" w:rsidR="00881325">
        <w:rPr>
          <w:sz w:val="26"/>
          <w:szCs w:val="26"/>
        </w:rPr>
        <w:t>дней</w:t>
      </w:r>
      <w:r w:rsidRPr="00522CB9">
        <w:rPr>
          <w:sz w:val="26"/>
          <w:szCs w:val="26"/>
        </w:rPr>
        <w:t xml:space="preserve"> со дня вручения или получения копии постановления.</w:t>
      </w:r>
    </w:p>
    <w:p w:rsidR="008C3341" w:rsidRPr="00522CB9" w:rsidP="008C3341">
      <w:pPr>
        <w:jc w:val="both"/>
        <w:rPr>
          <w:sz w:val="26"/>
          <w:szCs w:val="26"/>
        </w:rPr>
      </w:pPr>
    </w:p>
    <w:p w:rsidR="008C3341" w:rsidRPr="00522CB9" w:rsidP="008C3341">
      <w:pPr>
        <w:ind w:firstLine="708"/>
        <w:rPr>
          <w:sz w:val="26"/>
          <w:szCs w:val="26"/>
        </w:rPr>
      </w:pPr>
      <w:r w:rsidRPr="00522CB9">
        <w:rPr>
          <w:sz w:val="26"/>
          <w:szCs w:val="26"/>
        </w:rPr>
        <w:t>Мировой судья</w:t>
      </w:r>
      <w:r w:rsidRPr="00522CB9">
        <w:rPr>
          <w:sz w:val="26"/>
          <w:szCs w:val="26"/>
        </w:rPr>
        <w:tab/>
      </w:r>
      <w:r w:rsidRPr="00522CB9">
        <w:rPr>
          <w:sz w:val="26"/>
          <w:szCs w:val="26"/>
        </w:rPr>
        <w:tab/>
      </w:r>
      <w:r w:rsidRPr="00522CB9">
        <w:rPr>
          <w:sz w:val="26"/>
          <w:szCs w:val="26"/>
        </w:rPr>
        <w:tab/>
        <w:t>подпись</w:t>
      </w:r>
      <w:r w:rsidRPr="00522CB9">
        <w:rPr>
          <w:sz w:val="26"/>
          <w:szCs w:val="26"/>
        </w:rPr>
        <w:tab/>
      </w:r>
      <w:r w:rsidRPr="00522CB9">
        <w:rPr>
          <w:sz w:val="26"/>
          <w:szCs w:val="26"/>
        </w:rPr>
        <w:tab/>
      </w:r>
      <w:r w:rsidRPr="00522CB9">
        <w:rPr>
          <w:sz w:val="26"/>
          <w:szCs w:val="26"/>
        </w:rPr>
        <w:tab/>
        <w:t xml:space="preserve"> Т.И. </w:t>
      </w:r>
      <w:r w:rsidRPr="00522CB9">
        <w:rPr>
          <w:sz w:val="26"/>
          <w:szCs w:val="26"/>
        </w:rPr>
        <w:t>Зиннурова</w:t>
      </w:r>
    </w:p>
    <w:p w:rsidR="008C3341" w:rsidRPr="00522CB9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КОПИЯ ВЕРНА </w:t>
      </w:r>
      <w:r w:rsidRPr="00522CB9" w:rsidR="00522CB9">
        <w:rPr>
          <w:bCs/>
          <w:sz w:val="26"/>
          <w:szCs w:val="26"/>
        </w:rPr>
        <w:t>25 февраля 2026</w:t>
      </w:r>
      <w:r w:rsidRPr="00522CB9">
        <w:rPr>
          <w:bCs/>
          <w:sz w:val="26"/>
          <w:szCs w:val="26"/>
        </w:rPr>
        <w:t xml:space="preserve"> </w:t>
      </w:r>
      <w:r w:rsidRPr="00522CB9">
        <w:rPr>
          <w:sz w:val="26"/>
          <w:szCs w:val="26"/>
        </w:rPr>
        <w:t>года.</w:t>
      </w:r>
    </w:p>
    <w:p w:rsidR="008C3341" w:rsidRPr="00522CB9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И.о</w:t>
      </w:r>
      <w:r w:rsidRPr="00522CB9">
        <w:rPr>
          <w:sz w:val="26"/>
          <w:szCs w:val="26"/>
        </w:rPr>
        <w:t>.</w:t>
      </w:r>
      <w:r w:rsidRPr="00522CB9" w:rsidR="009E6B6E">
        <w:rPr>
          <w:sz w:val="26"/>
          <w:szCs w:val="26"/>
        </w:rPr>
        <w:t xml:space="preserve"> </w:t>
      </w:r>
      <w:r w:rsidRPr="00522CB9">
        <w:rPr>
          <w:sz w:val="26"/>
          <w:szCs w:val="26"/>
        </w:rPr>
        <w:t>м</w:t>
      </w:r>
      <w:r w:rsidRPr="00522CB9">
        <w:rPr>
          <w:sz w:val="26"/>
          <w:szCs w:val="26"/>
        </w:rPr>
        <w:t>ирово</w:t>
      </w:r>
      <w:r w:rsidRPr="00522CB9">
        <w:rPr>
          <w:sz w:val="26"/>
          <w:szCs w:val="26"/>
        </w:rPr>
        <w:t>го</w:t>
      </w:r>
      <w:r w:rsidRPr="00522CB9">
        <w:rPr>
          <w:sz w:val="26"/>
          <w:szCs w:val="26"/>
        </w:rPr>
        <w:t xml:space="preserve"> судь</w:t>
      </w:r>
      <w:r w:rsidRPr="00522CB9">
        <w:rPr>
          <w:sz w:val="26"/>
          <w:szCs w:val="26"/>
        </w:rPr>
        <w:t>и</w:t>
      </w:r>
      <w:r w:rsidRPr="00522CB9">
        <w:rPr>
          <w:sz w:val="26"/>
          <w:szCs w:val="26"/>
        </w:rPr>
        <w:t xml:space="preserve"> судебного участка №</w:t>
      </w:r>
      <w:r w:rsidRPr="00522CB9">
        <w:rPr>
          <w:sz w:val="26"/>
          <w:szCs w:val="26"/>
        </w:rPr>
        <w:t>7</w:t>
      </w:r>
      <w:r w:rsidRPr="00522CB9">
        <w:rPr>
          <w:sz w:val="26"/>
          <w:szCs w:val="26"/>
        </w:rPr>
        <w:t xml:space="preserve"> </w:t>
      </w:r>
      <w:r w:rsidRPr="00522CB9">
        <w:rPr>
          <w:sz w:val="26"/>
          <w:szCs w:val="26"/>
        </w:rPr>
        <w:t>Сургутского</w:t>
      </w:r>
    </w:p>
    <w:p w:rsidR="008C3341" w:rsidRPr="00522CB9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22CB9">
        <w:rPr>
          <w:sz w:val="26"/>
          <w:szCs w:val="26"/>
        </w:rPr>
        <w:t>судебного района города окружного значения Сургута</w:t>
      </w:r>
    </w:p>
    <w:p w:rsidR="008C3341" w:rsidRPr="00522CB9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22CB9">
        <w:rPr>
          <w:sz w:val="26"/>
          <w:szCs w:val="26"/>
        </w:rPr>
        <w:t xml:space="preserve">ХМАО-Югры Т.И. </w:t>
      </w:r>
      <w:r w:rsidRPr="00522CB9">
        <w:rPr>
          <w:sz w:val="26"/>
          <w:szCs w:val="26"/>
        </w:rPr>
        <w:t>Зиннурова</w:t>
      </w:r>
      <w:r w:rsidRPr="00522CB9">
        <w:rPr>
          <w:sz w:val="26"/>
          <w:szCs w:val="26"/>
          <w:u w:val="single"/>
        </w:rPr>
        <w:t>________________________</w:t>
      </w:r>
    </w:p>
    <w:p w:rsidR="008C3341" w:rsidRPr="00522CB9" w:rsidP="008C3341">
      <w:pPr>
        <w:rPr>
          <w:sz w:val="26"/>
          <w:szCs w:val="26"/>
          <w:lang w:val="x-none"/>
        </w:rPr>
      </w:pPr>
      <w:r w:rsidRPr="00522CB9">
        <w:rPr>
          <w:sz w:val="26"/>
          <w:szCs w:val="26"/>
        </w:rPr>
        <w:t xml:space="preserve">           </w:t>
      </w:r>
      <w:r w:rsidRPr="00522CB9">
        <w:rPr>
          <w:sz w:val="26"/>
          <w:szCs w:val="26"/>
          <w:lang w:val="x-none"/>
        </w:rPr>
        <w:t xml:space="preserve">Подлинный документ хранится в деле № </w:t>
      </w:r>
      <w:r w:rsidRPr="00522CB9" w:rsidR="00522CB9">
        <w:rPr>
          <w:sz w:val="26"/>
          <w:szCs w:val="26"/>
          <w:lang w:val="x-none"/>
        </w:rPr>
        <w:t>05-0170/2607/2026</w:t>
      </w:r>
    </w:p>
    <w:p w:rsidR="008C3341" w:rsidRPr="00522CB9" w:rsidP="008C3341"/>
    <w:p w:rsidR="008C3341" w:rsidRPr="00522CB9" w:rsidP="008C3341">
      <w:pPr>
        <w:jc w:val="both"/>
      </w:pPr>
      <w:r w:rsidRPr="00522CB9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8C3341" w:rsidRPr="00522CB9" w:rsidP="008C3341">
      <w:pPr>
        <w:ind w:firstLine="708"/>
        <w:jc w:val="both"/>
      </w:pPr>
      <w:r w:rsidRPr="00522CB9">
        <w:t xml:space="preserve">Копию квитанции об оплате административного штрафа необходимо представить по адресу: г. Сургут, ул. Гагарина д. 9 </w:t>
      </w:r>
      <w:r w:rsidRPr="00522CB9">
        <w:t>каб</w:t>
      </w:r>
      <w:r w:rsidRPr="00522CB9">
        <w:t xml:space="preserve">. 106. </w:t>
      </w:r>
    </w:p>
    <w:p w:rsidR="008C3341" w:rsidRPr="00522CB9" w:rsidP="008C3341"/>
    <w:p w:rsidR="00ED0A79" w:rsidRPr="00522CB9" w:rsidP="00E70851"/>
    <w:sectPr w:rsidSect="00863E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8C334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8C334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3274"/>
    <w:rsid w:val="00166B61"/>
    <w:rsid w:val="00172840"/>
    <w:rsid w:val="00197FCE"/>
    <w:rsid w:val="001A5FA9"/>
    <w:rsid w:val="0020107C"/>
    <w:rsid w:val="00207961"/>
    <w:rsid w:val="00241631"/>
    <w:rsid w:val="002470BE"/>
    <w:rsid w:val="0025772E"/>
    <w:rsid w:val="00270AAB"/>
    <w:rsid w:val="00275812"/>
    <w:rsid w:val="002A212B"/>
    <w:rsid w:val="002A71E9"/>
    <w:rsid w:val="002D07E6"/>
    <w:rsid w:val="002D356D"/>
    <w:rsid w:val="002D6F07"/>
    <w:rsid w:val="002F6E8A"/>
    <w:rsid w:val="00323AA9"/>
    <w:rsid w:val="00326564"/>
    <w:rsid w:val="00370417"/>
    <w:rsid w:val="003C6B41"/>
    <w:rsid w:val="003D11CD"/>
    <w:rsid w:val="003D1EE0"/>
    <w:rsid w:val="00400D1B"/>
    <w:rsid w:val="00402F8D"/>
    <w:rsid w:val="00431E00"/>
    <w:rsid w:val="004422E9"/>
    <w:rsid w:val="004511E2"/>
    <w:rsid w:val="004679C5"/>
    <w:rsid w:val="00476AC4"/>
    <w:rsid w:val="00486F65"/>
    <w:rsid w:val="004A198B"/>
    <w:rsid w:val="004B0163"/>
    <w:rsid w:val="004D3325"/>
    <w:rsid w:val="004D6DE2"/>
    <w:rsid w:val="00516B54"/>
    <w:rsid w:val="00522CB9"/>
    <w:rsid w:val="00530A06"/>
    <w:rsid w:val="00532F94"/>
    <w:rsid w:val="00543E46"/>
    <w:rsid w:val="0054461C"/>
    <w:rsid w:val="0056788F"/>
    <w:rsid w:val="00584FE2"/>
    <w:rsid w:val="0058668D"/>
    <w:rsid w:val="005920B0"/>
    <w:rsid w:val="005946B8"/>
    <w:rsid w:val="005A0DD7"/>
    <w:rsid w:val="005D63B8"/>
    <w:rsid w:val="006058F4"/>
    <w:rsid w:val="00614EA6"/>
    <w:rsid w:val="00631F8D"/>
    <w:rsid w:val="006331E3"/>
    <w:rsid w:val="00634CAE"/>
    <w:rsid w:val="00651F68"/>
    <w:rsid w:val="006A2FD4"/>
    <w:rsid w:val="006B368C"/>
    <w:rsid w:val="006C519C"/>
    <w:rsid w:val="006E5CEF"/>
    <w:rsid w:val="006F220C"/>
    <w:rsid w:val="0071240F"/>
    <w:rsid w:val="00717455"/>
    <w:rsid w:val="00717EEC"/>
    <w:rsid w:val="007432DE"/>
    <w:rsid w:val="00754B91"/>
    <w:rsid w:val="007570F5"/>
    <w:rsid w:val="00780C43"/>
    <w:rsid w:val="00781C06"/>
    <w:rsid w:val="007B04CD"/>
    <w:rsid w:val="007D1A54"/>
    <w:rsid w:val="007E0B9B"/>
    <w:rsid w:val="008147F5"/>
    <w:rsid w:val="008243CE"/>
    <w:rsid w:val="0084582B"/>
    <w:rsid w:val="00863EBE"/>
    <w:rsid w:val="00881325"/>
    <w:rsid w:val="00886785"/>
    <w:rsid w:val="00890CB3"/>
    <w:rsid w:val="0089211F"/>
    <w:rsid w:val="0089393A"/>
    <w:rsid w:val="00893DDF"/>
    <w:rsid w:val="008A33C7"/>
    <w:rsid w:val="008C3341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E6B6E"/>
    <w:rsid w:val="00A01710"/>
    <w:rsid w:val="00A502B5"/>
    <w:rsid w:val="00A64B9E"/>
    <w:rsid w:val="00A91075"/>
    <w:rsid w:val="00AC0378"/>
    <w:rsid w:val="00AC4626"/>
    <w:rsid w:val="00AF2AFA"/>
    <w:rsid w:val="00B07E61"/>
    <w:rsid w:val="00B24373"/>
    <w:rsid w:val="00B25BAB"/>
    <w:rsid w:val="00B3272A"/>
    <w:rsid w:val="00B46D85"/>
    <w:rsid w:val="00B6543F"/>
    <w:rsid w:val="00B83CE2"/>
    <w:rsid w:val="00B921AF"/>
    <w:rsid w:val="00B93F39"/>
    <w:rsid w:val="00BC2E59"/>
    <w:rsid w:val="00BD3407"/>
    <w:rsid w:val="00C00412"/>
    <w:rsid w:val="00C056A0"/>
    <w:rsid w:val="00C1157C"/>
    <w:rsid w:val="00C34040"/>
    <w:rsid w:val="00C75973"/>
    <w:rsid w:val="00C81169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8500D"/>
    <w:rsid w:val="00F95152"/>
    <w:rsid w:val="00FA34FD"/>
    <w:rsid w:val="00FB08CB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DC4D20-4969-4CB5-AD45-307E33F4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C3341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